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F205" w14:textId="77777777" w:rsidR="006F36A3" w:rsidRDefault="006F36A3" w:rsidP="006F36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color w:val="000000"/>
          <w:sz w:val="20"/>
          <w:szCs w:val="20"/>
        </w:rPr>
      </w:pPr>
      <w:r>
        <w:rPr>
          <w:rFonts w:ascii="Gill Sans MT" w:hAnsi="Gill Sans MT" w:cs="Palatino Linotype"/>
          <w:color w:val="000000"/>
          <w:sz w:val="20"/>
          <w:szCs w:val="20"/>
        </w:rPr>
        <w:t>UZASADNIENIE</w:t>
      </w:r>
    </w:p>
    <w:p w14:paraId="6554B482" w14:textId="140F637A" w:rsidR="006F36A3" w:rsidRPr="004F5CCD" w:rsidRDefault="006F36A3" w:rsidP="006F36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color w:val="000000"/>
          <w:sz w:val="20"/>
          <w:szCs w:val="20"/>
        </w:rPr>
      </w:pPr>
      <w:r w:rsidRPr="004F5CCD">
        <w:rPr>
          <w:rFonts w:ascii="Gill Sans MT" w:hAnsi="Gill Sans MT" w:cs="Palatino Linotype"/>
          <w:color w:val="000000"/>
          <w:sz w:val="20"/>
          <w:szCs w:val="20"/>
        </w:rPr>
        <w:t>Wyznaczenie obszarów zdegradowanych na terenie gminy W</w:t>
      </w:r>
      <w:r w:rsidR="00C407B3">
        <w:rPr>
          <w:rFonts w:ascii="Gill Sans MT" w:hAnsi="Gill Sans MT" w:cs="Palatino Linotype"/>
          <w:color w:val="000000"/>
          <w:sz w:val="20"/>
          <w:szCs w:val="20"/>
        </w:rPr>
        <w:t>ola Mysłowska</w:t>
      </w:r>
      <w:r w:rsidRPr="004F5CCD">
        <w:rPr>
          <w:rFonts w:ascii="Gill Sans MT" w:hAnsi="Gill Sans MT" w:cs="Palatino Linotype"/>
          <w:color w:val="000000"/>
          <w:sz w:val="20"/>
          <w:szCs w:val="20"/>
        </w:rPr>
        <w:t xml:space="preserve"> zostało przeprowadzone przy pomocy dwóch odrębnych analiz: jakościowej i wskaźnikowej. </w:t>
      </w:r>
    </w:p>
    <w:p w14:paraId="7D9DC174" w14:textId="77777777" w:rsidR="006F36A3" w:rsidRPr="004F5CCD" w:rsidRDefault="006F36A3" w:rsidP="006F36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color w:val="FF0000"/>
          <w:sz w:val="20"/>
          <w:szCs w:val="20"/>
        </w:rPr>
      </w:pPr>
    </w:p>
    <w:p w14:paraId="5DB00086" w14:textId="77777777" w:rsidR="00C65997" w:rsidRPr="00C65997" w:rsidRDefault="00C65997" w:rsidP="00C659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bCs/>
          <w:sz w:val="20"/>
          <w:szCs w:val="20"/>
        </w:rPr>
      </w:pPr>
      <w:r w:rsidRPr="00C65997">
        <w:rPr>
          <w:rFonts w:ascii="Gill Sans MT" w:hAnsi="Gill Sans MT" w:cs="Palatino Linotype"/>
          <w:bCs/>
          <w:sz w:val="20"/>
          <w:szCs w:val="20"/>
        </w:rPr>
        <w:t>Analiza jakościowa obejmowała obszar całej gminy i w niniejszym dokumencie przyjęła formę powyższej szczegółowej diagnozy, zawierającej charakterystykę pięciu sfer: społecznej, gospodarczej, środowiskowej, przestrzenno-funkcjonalnej i technicznej. Kluczowymi dla opracowania diagnozy było 8 dokumentów źródłowych, programów i planów gminnych, w szczególności Strategia Rozwoju Gminy Wola Mysłowska na lata 2021-2030 oraz Strategia Integracji i rozwiązywania problemów społecznych gminy Wola Mysłowska na lata 2014-2020. W diagnozie uwzględnione zostały problemy w nich zidentyfikowane, a następnie przeanalizowane w skali jednostek analitycznych.</w:t>
      </w:r>
    </w:p>
    <w:p w14:paraId="4942F762" w14:textId="10991E62" w:rsidR="006F36A3" w:rsidRPr="00C65997" w:rsidRDefault="00C65997" w:rsidP="00C659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sz w:val="20"/>
          <w:szCs w:val="20"/>
        </w:rPr>
      </w:pPr>
      <w:r w:rsidRPr="00C65997">
        <w:rPr>
          <w:rFonts w:ascii="Gill Sans MT" w:hAnsi="Gill Sans MT" w:cs="Palatino Linotype"/>
          <w:bCs/>
          <w:sz w:val="20"/>
          <w:szCs w:val="20"/>
        </w:rPr>
        <w:t>Kluczowym etapem podczas prac nad wyznaczeniem obszarów zdegradowanych było przeprowadzenie wielokryterialnej analizy wskaźnikowej, obejmującej obszar całej gminy w podziale na wyznaczone jednostki analityczne, który pozwolił na prezentację poszczególnych wskaźników zagregowanych do cech w odniesieniu do tych obszarów i porównanie ich do średniej wartości danego wskaźnika dla całej gminy.</w:t>
      </w:r>
      <w:r w:rsidR="006F36A3" w:rsidRPr="00C65997">
        <w:rPr>
          <w:rFonts w:ascii="Gill Sans MT" w:hAnsi="Gill Sans MT" w:cs="Palatino Linotype"/>
          <w:sz w:val="20"/>
          <w:szCs w:val="20"/>
        </w:rPr>
        <w:t xml:space="preserve"> </w:t>
      </w:r>
    </w:p>
    <w:p w14:paraId="291949B0" w14:textId="77777777" w:rsidR="006F36A3" w:rsidRPr="004F5CCD" w:rsidRDefault="006F36A3" w:rsidP="006F36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sz w:val="20"/>
          <w:szCs w:val="20"/>
        </w:rPr>
      </w:pPr>
    </w:p>
    <w:p w14:paraId="0CEBDC27" w14:textId="77777777" w:rsidR="00C65997" w:rsidRPr="00C65997" w:rsidRDefault="00C65997" w:rsidP="00C65997">
      <w:pPr>
        <w:pStyle w:val="Default"/>
        <w:jc w:val="both"/>
        <w:rPr>
          <w:rFonts w:ascii="Gill Sans MT" w:hAnsi="Gill Sans MT" w:cs="Palatino Linotype"/>
          <w:color w:val="auto"/>
          <w:sz w:val="20"/>
          <w:szCs w:val="20"/>
        </w:rPr>
      </w:pPr>
      <w:r w:rsidRPr="00C65997">
        <w:rPr>
          <w:rFonts w:ascii="Gill Sans MT" w:hAnsi="Gill Sans MT" w:cs="Palatino Linotype"/>
          <w:color w:val="auto"/>
          <w:sz w:val="20"/>
          <w:szCs w:val="20"/>
        </w:rPr>
        <w:t>W pierwszym kroku określono zestaw wskaźników i cech we wszystkich analizowanych sferach, w szczególności dla sfery społecznej. Wskaźniki zostały dobrane w sposób możliwie najbardziej szczegółowy w tym dla opisania problemów społecznych zidentyfikowanych w Strategia Integracji i rozwiązywania problemów społecznych gminy Wola Mysłowska na lata 2014-2020.</w:t>
      </w:r>
    </w:p>
    <w:p w14:paraId="4F69752C" w14:textId="77777777" w:rsidR="00C65997" w:rsidRPr="00C65997" w:rsidRDefault="00C65997" w:rsidP="00C65997">
      <w:pPr>
        <w:pStyle w:val="Default"/>
        <w:jc w:val="both"/>
        <w:rPr>
          <w:rFonts w:ascii="Gill Sans MT" w:hAnsi="Gill Sans MT" w:cs="Palatino Linotype"/>
          <w:color w:val="auto"/>
          <w:sz w:val="20"/>
          <w:szCs w:val="20"/>
        </w:rPr>
      </w:pPr>
      <w:r w:rsidRPr="00C65997">
        <w:rPr>
          <w:rFonts w:ascii="Gill Sans MT" w:hAnsi="Gill Sans MT" w:cs="Palatino Linotype"/>
          <w:color w:val="auto"/>
          <w:sz w:val="20"/>
          <w:szCs w:val="20"/>
        </w:rPr>
        <w:t>Następnie, po wybraniu zestawu wskaźników, pozyskano dane liczbowe, dotyczące poszczególnych jednostek analitycznych, a także całej gminy. Dane zostały pozyskane zarówno z Urzędu Gminy, jak instytucji zewnętrznych. Na ich podstawie obliczone zostały wskaźniki w przeliczeniu co do zasady na 100 statystycznych mieszkańców obrazujące problemy społeczne, gospodarcze, środowiskowe, infrastrukturalne i przestrzenne, a następnie wynik został porównany ze wskaźnikiem prezentującym średnią sytuację w całej gminie.</w:t>
      </w:r>
    </w:p>
    <w:p w14:paraId="794AF1F6" w14:textId="1BC0EAE2" w:rsidR="006F36A3" w:rsidRDefault="00C65997" w:rsidP="00C65997">
      <w:pPr>
        <w:pStyle w:val="Default"/>
        <w:jc w:val="both"/>
        <w:rPr>
          <w:rFonts w:ascii="Gill Sans MT" w:hAnsi="Gill Sans MT" w:cs="Palatino Linotype"/>
          <w:sz w:val="20"/>
          <w:szCs w:val="20"/>
        </w:rPr>
      </w:pPr>
      <w:r w:rsidRPr="00C65997">
        <w:rPr>
          <w:rFonts w:ascii="Gill Sans MT" w:hAnsi="Gill Sans MT" w:cs="Palatino Linotype"/>
          <w:color w:val="auto"/>
          <w:sz w:val="20"/>
          <w:szCs w:val="20"/>
        </w:rPr>
        <w:t>Kolejnym krokiem było wyznaczenie stanu kryzysowego w każdej ze sfer, jeżeli ilość wskaźników niekorzystnych w poszczególnych jednostkach analitycznych przekraczała połowę ich liczby, zaś w przypadku wskaźników niekwantyfikowalnych dokonano oceny opisowej.</w:t>
      </w:r>
    </w:p>
    <w:p w14:paraId="3FAA4D9E" w14:textId="08D72583" w:rsidR="006F36A3" w:rsidRDefault="00C65997" w:rsidP="006F36A3">
      <w:pPr>
        <w:pStyle w:val="Default"/>
        <w:jc w:val="both"/>
        <w:rPr>
          <w:rFonts w:ascii="Gill Sans MT" w:hAnsi="Gill Sans MT" w:cs="Palatino Linotype"/>
          <w:sz w:val="20"/>
          <w:szCs w:val="20"/>
        </w:rPr>
      </w:pPr>
      <w:r w:rsidRPr="00C65997">
        <w:rPr>
          <w:rFonts w:ascii="Gill Sans MT" w:hAnsi="Gill Sans MT" w:cs="Palatino Linotype"/>
          <w:sz w:val="20"/>
          <w:szCs w:val="20"/>
        </w:rPr>
        <w:t>Zgodnie z wymogami ustawowymi, pozwoliło to na wyznaczenie obszarów zdegradowanych na których zidentyfikowano występowanie stanu kryzysowego w sferze społecznej, na którą nawarstwia się największa liczba sytuacji kryzysowych w co najmniej jednej z pozostałych 4 sfer. W przypadku gdy w co najmniej dwóch jednostkach analitycznych kryzysowi w sferze społecznej towarzyszy równa liczba negatywnych zjawisk w pozostałych sferach, dla uszeregowania jednostek posłużono się kryterium największej liczby występujących w jednostce niekorzystnych wskaźników</w:t>
      </w:r>
    </w:p>
    <w:p w14:paraId="03707860" w14:textId="5FA455AE" w:rsidR="006F36A3" w:rsidRDefault="00C65997" w:rsidP="006F36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color w:val="000000"/>
          <w:sz w:val="20"/>
          <w:szCs w:val="20"/>
        </w:rPr>
      </w:pPr>
      <w:r w:rsidRPr="00C65997">
        <w:rPr>
          <w:rFonts w:ascii="Gill Sans MT" w:hAnsi="Gill Sans MT" w:cs="Palatino Linotype"/>
          <w:color w:val="000000"/>
          <w:sz w:val="20"/>
          <w:szCs w:val="20"/>
        </w:rPr>
        <w:t>Jednostki analityczne – sołectwa wchodzące określone jako obszar zdegradowany, zostały uznane za obszar rewitalizacji, przy czym, z uwagi na wymóg koncentracji przestrzennej, łączna powierzchnia wybranych jednostek nie mogła przekroczyć 20% powierzchni gminy, a ich ludność nie stanowić więcej niż 30% liczby jej mieszkańców.</w:t>
      </w:r>
    </w:p>
    <w:p w14:paraId="3E77DF5C" w14:textId="17C09C86" w:rsidR="00D31AC8" w:rsidRDefault="00D31AC8" w:rsidP="006F36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color w:val="000000"/>
          <w:sz w:val="20"/>
          <w:szCs w:val="20"/>
        </w:rPr>
      </w:pPr>
    </w:p>
    <w:p w14:paraId="53417AD3" w14:textId="52CECBC8" w:rsidR="00D31AC8" w:rsidRPr="004F5CCD" w:rsidRDefault="00D31AC8" w:rsidP="006F36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alatino Linotype"/>
          <w:color w:val="000000"/>
          <w:sz w:val="20"/>
          <w:szCs w:val="20"/>
        </w:rPr>
      </w:pPr>
      <w:r>
        <w:rPr>
          <w:rFonts w:ascii="Gill Sans MT" w:hAnsi="Gill Sans MT" w:cs="Palatino Linotype"/>
          <w:color w:val="000000"/>
          <w:sz w:val="20"/>
          <w:szCs w:val="20"/>
        </w:rPr>
        <w:t xml:space="preserve">Mapy </w:t>
      </w:r>
      <w:r w:rsidR="00E31D1D" w:rsidRPr="00E31D1D">
        <w:rPr>
          <w:rFonts w:ascii="Gill Sans MT" w:hAnsi="Gill Sans MT" w:cs="Palatino Linotype"/>
          <w:color w:val="000000"/>
          <w:sz w:val="20"/>
          <w:szCs w:val="20"/>
        </w:rPr>
        <w:t>stanowiące załączniki do przedmiotowej uchwały</w:t>
      </w:r>
      <w:r w:rsidR="00E31D1D">
        <w:rPr>
          <w:rFonts w:ascii="Gill Sans MT" w:hAnsi="Gill Sans MT" w:cs="Palatino Linotype"/>
          <w:color w:val="000000"/>
          <w:sz w:val="20"/>
          <w:szCs w:val="20"/>
        </w:rPr>
        <w:t xml:space="preserve">, wykonano na podstawie mapy zasadniczej 1:5000 </w:t>
      </w:r>
      <w:r>
        <w:rPr>
          <w:rFonts w:ascii="Gill Sans MT" w:hAnsi="Gill Sans MT" w:cs="Palatino Linotype"/>
          <w:color w:val="000000"/>
          <w:sz w:val="20"/>
          <w:szCs w:val="20"/>
        </w:rPr>
        <w:t>pozyskan</w:t>
      </w:r>
      <w:r w:rsidR="00E31D1D">
        <w:rPr>
          <w:rFonts w:ascii="Gill Sans MT" w:hAnsi="Gill Sans MT" w:cs="Palatino Linotype"/>
          <w:color w:val="000000"/>
          <w:sz w:val="20"/>
          <w:szCs w:val="20"/>
        </w:rPr>
        <w:t>e</w:t>
      </w:r>
      <w:r>
        <w:rPr>
          <w:rFonts w:ascii="Gill Sans MT" w:hAnsi="Gill Sans MT" w:cs="Palatino Linotype"/>
          <w:color w:val="000000"/>
          <w:sz w:val="20"/>
          <w:szCs w:val="20"/>
        </w:rPr>
        <w:t xml:space="preserve"> z zasobu</w:t>
      </w:r>
      <w:r w:rsidR="00E31D1D">
        <w:rPr>
          <w:rFonts w:ascii="Gill Sans MT" w:hAnsi="Gill Sans MT" w:cs="Palatino Linotype"/>
          <w:color w:val="000000"/>
          <w:sz w:val="20"/>
          <w:szCs w:val="20"/>
        </w:rPr>
        <w:t xml:space="preserve"> kartograficznego Starostwa Powiatowego w Łukowie.</w:t>
      </w:r>
    </w:p>
    <w:p w14:paraId="0CC6A36A" w14:textId="77777777" w:rsidR="006F36A3" w:rsidRPr="004F5CCD" w:rsidRDefault="006F36A3" w:rsidP="006F36A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3B77D740" w14:textId="77777777" w:rsidR="00C94287" w:rsidRDefault="00C94287"/>
    <w:sectPr w:rsidR="00C94287" w:rsidSect="00C94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A3"/>
    <w:rsid w:val="006F36A3"/>
    <w:rsid w:val="00C407B3"/>
    <w:rsid w:val="00C65997"/>
    <w:rsid w:val="00C94287"/>
    <w:rsid w:val="00D31AC8"/>
    <w:rsid w:val="00E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35C1"/>
  <w15:docId w15:val="{DDC475F3-4398-4EB0-8650-0AC1DCEF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6A3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36A3"/>
    <w:rPr>
      <w:b/>
    </w:rPr>
  </w:style>
  <w:style w:type="paragraph" w:customStyle="1" w:styleId="Default">
    <w:name w:val="Default"/>
    <w:qFormat/>
    <w:rsid w:val="006F3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</dc:creator>
  <cp:lastModifiedBy>Monika Wac</cp:lastModifiedBy>
  <cp:revision>3</cp:revision>
  <dcterms:created xsi:type="dcterms:W3CDTF">2022-03-24T07:12:00Z</dcterms:created>
  <dcterms:modified xsi:type="dcterms:W3CDTF">2022-03-24T07:12:00Z</dcterms:modified>
</cp:coreProperties>
</file>